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7BBD95F8" w:rsidR="001E09B1" w:rsidRPr="003B1033" w:rsidRDefault="001E09B1" w:rsidP="001E09B1">
      <w:pPr>
        <w:pStyle w:val="3GPPHeader"/>
        <w:spacing w:after="60"/>
        <w:rPr>
          <w:sz w:val="32"/>
          <w:szCs w:val="32"/>
        </w:rPr>
      </w:pPr>
      <w:bookmarkStart w:id="0" w:name="_Hlk506274156"/>
      <w:bookmarkEnd w:id="0"/>
      <w:r w:rsidRPr="00814E0B">
        <w:t xml:space="preserve">3GPP TSG-RAN </w:t>
      </w:r>
      <w:r w:rsidRPr="007120D7">
        <w:t>WG</w:t>
      </w:r>
      <w:r w:rsidR="007120D7" w:rsidRPr="007120D7">
        <w:t>2</w:t>
      </w:r>
      <w:r w:rsidRPr="007120D7">
        <w:t>#10</w:t>
      </w:r>
      <w:r w:rsidR="007120D7" w:rsidRPr="007120D7">
        <w:t>5</w:t>
      </w:r>
      <w:r w:rsidRPr="003B1033">
        <w:tab/>
      </w:r>
      <w:r w:rsidRPr="007120D7">
        <w:rPr>
          <w:szCs w:val="24"/>
        </w:rPr>
        <w:t>R</w:t>
      </w:r>
      <w:r w:rsidR="007120D7" w:rsidRPr="007120D7">
        <w:rPr>
          <w:szCs w:val="24"/>
        </w:rPr>
        <w:t>2</w:t>
      </w:r>
      <w:r w:rsidRPr="007120D7">
        <w:rPr>
          <w:szCs w:val="24"/>
        </w:rPr>
        <w:t>-</w:t>
      </w:r>
      <w:r w:rsidR="007120D7" w:rsidRPr="007120D7">
        <w:rPr>
          <w:szCs w:val="24"/>
        </w:rPr>
        <w:t>1901384</w:t>
      </w:r>
    </w:p>
    <w:p w14:paraId="7D70255F" w14:textId="77777777" w:rsidR="001E09B1" w:rsidRPr="004141C2" w:rsidRDefault="001E09B1" w:rsidP="001E09B1">
      <w:pPr>
        <w:pStyle w:val="Header"/>
        <w:rPr>
          <w:b w:val="0"/>
          <w:bCs w:val="0"/>
          <w:sz w:val="26"/>
          <w:szCs w:val="26"/>
        </w:rPr>
      </w:pPr>
      <w:r w:rsidRPr="004141C2">
        <w:rPr>
          <w:sz w:val="26"/>
          <w:szCs w:val="26"/>
        </w:rPr>
        <w:t>Athens, Greece, 25</w:t>
      </w:r>
      <w:r w:rsidRPr="004141C2">
        <w:rPr>
          <w:sz w:val="26"/>
          <w:szCs w:val="26"/>
          <w:vertAlign w:val="superscript"/>
        </w:rPr>
        <w:t>th</w:t>
      </w:r>
      <w:r w:rsidRPr="004141C2">
        <w:rPr>
          <w:sz w:val="26"/>
          <w:szCs w:val="26"/>
        </w:rPr>
        <w:t xml:space="preserve"> February</w:t>
      </w:r>
      <w:r w:rsidRPr="004141C2">
        <w:rPr>
          <w:sz w:val="26"/>
          <w:szCs w:val="26"/>
          <w:vertAlign w:val="superscript"/>
        </w:rPr>
        <w:t xml:space="preserve"> </w:t>
      </w:r>
      <w:r w:rsidRPr="004141C2">
        <w:rPr>
          <w:sz w:val="26"/>
          <w:szCs w:val="26"/>
        </w:rPr>
        <w:t>- 1</w:t>
      </w:r>
      <w:r w:rsidRPr="004141C2">
        <w:rPr>
          <w:sz w:val="26"/>
          <w:szCs w:val="26"/>
          <w:vertAlign w:val="superscript"/>
        </w:rPr>
        <w:t>th</w:t>
      </w:r>
      <w:r w:rsidRPr="004141C2">
        <w:rPr>
          <w:sz w:val="26"/>
          <w:szCs w:val="26"/>
        </w:rPr>
        <w:t xml:space="preserve">  March, 2019</w:t>
      </w:r>
    </w:p>
    <w:p w14:paraId="46CB7C74" w14:textId="77777777" w:rsidR="002922AE" w:rsidRPr="001E09B1" w:rsidRDefault="002922AE" w:rsidP="002922AE">
      <w:pPr>
        <w:pStyle w:val="3GPPHeader"/>
        <w:rPr>
          <w:sz w:val="22"/>
          <w:szCs w:val="22"/>
          <w:lang w:val="en-US"/>
        </w:rPr>
      </w:pPr>
    </w:p>
    <w:p w14:paraId="07723AA5" w14:textId="2FE2F15F"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7120D7" w:rsidRPr="000E2FAD">
        <w:rPr>
          <w:sz w:val="22"/>
          <w:szCs w:val="22"/>
          <w:lang w:val="en-US"/>
        </w:rPr>
        <w:t>11.1.3</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77777777" w:rsidR="002922AE" w:rsidRPr="00CE0424" w:rsidRDefault="002922AE" w:rsidP="002922AE">
      <w:pPr>
        <w:pStyle w:val="3GPPHeader"/>
        <w:rPr>
          <w:sz w:val="22"/>
          <w:szCs w:val="22"/>
        </w:rPr>
      </w:pPr>
      <w:r w:rsidRPr="00CE0424">
        <w:rPr>
          <w:sz w:val="22"/>
          <w:szCs w:val="22"/>
        </w:rPr>
        <w:t>Document for:</w:t>
      </w:r>
      <w:r w:rsidRPr="00CE0424">
        <w:rPr>
          <w:sz w:val="22"/>
          <w:szCs w:val="22"/>
        </w:rPr>
        <w:tab/>
      </w:r>
      <w:r>
        <w:rPr>
          <w:sz w:val="22"/>
          <w:szCs w:val="22"/>
        </w:rPr>
        <w:t>Discussion</w:t>
      </w:r>
    </w:p>
    <w:p w14:paraId="76A9BC2F" w14:textId="77777777" w:rsidR="00C24345" w:rsidRDefault="00E90E49" w:rsidP="00A2052C">
      <w:pPr>
        <w:pStyle w:val="Heading1"/>
      </w:pPr>
      <w:r w:rsidRPr="00CE0424">
        <w:t>Introduction</w:t>
      </w:r>
    </w:p>
    <w:p w14:paraId="66262235" w14:textId="633C91B7" w:rsidR="0056463D" w:rsidRDefault="00A93553" w:rsidP="00633FE7">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33FE7">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E4217C">
      <w:pPr>
        <w:pStyle w:val="Observation"/>
      </w:pPr>
      <w:bookmarkStart w:id="1" w:name="_Toc528844060"/>
      <w:bookmarkStart w:id="2" w:name="_Toc528846641"/>
      <w:bookmarkStart w:id="3" w:name="_Toc357407"/>
      <w:bookmarkStart w:id="4" w:name="_Toc358329"/>
      <w:bookmarkStart w:id="5" w:name="_Toc800019"/>
      <w:bookmarkStart w:id="6" w:name="_Toc1032860"/>
      <w:bookmarkStart w:id="7" w:name="_Toc1064099"/>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1"/>
      <w:bookmarkEnd w:id="2"/>
      <w:bookmarkEnd w:id="3"/>
      <w:bookmarkEnd w:id="4"/>
      <w:bookmarkEnd w:id="5"/>
      <w:bookmarkEnd w:id="6"/>
      <w:bookmarkEnd w:id="7"/>
    </w:p>
    <w:p w14:paraId="13220DF9" w14:textId="7BBF8775" w:rsidR="00441476" w:rsidRDefault="00415AA3" w:rsidP="00E4217C">
      <w:pPr>
        <w:pStyle w:val="Observation"/>
      </w:pPr>
      <w:bookmarkStart w:id="8" w:name="_Toc358330"/>
      <w:bookmarkStart w:id="9" w:name="_Toc800020"/>
      <w:bookmarkStart w:id="10" w:name="_Toc1032861"/>
      <w:bookmarkStart w:id="11" w:name="_Toc1064100"/>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8"/>
      <w:bookmarkEnd w:id="9"/>
      <w:bookmarkEnd w:id="10"/>
      <w:bookmarkEnd w:id="11"/>
      <w:r>
        <w:t xml:space="preserve"> </w:t>
      </w:r>
    </w:p>
    <w:p w14:paraId="73D6B070" w14:textId="12200552" w:rsidR="00E57E38" w:rsidRDefault="00E57E38" w:rsidP="00633FE7">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7915EA">
      <w:pPr>
        <w:pStyle w:val="Heading2"/>
      </w:pPr>
      <w:r>
        <w:t>Current CN functionality</w:t>
      </w:r>
      <w:r w:rsidR="00063EC1">
        <w:t xml:space="preserve"> needed to support UEs</w:t>
      </w:r>
    </w:p>
    <w:p w14:paraId="42050C8E" w14:textId="2E09C16E" w:rsidR="00E57E38" w:rsidRDefault="00857108" w:rsidP="00633FE7">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857108">
      <w:pPr>
        <w:pStyle w:val="ListParagraph"/>
        <w:numPr>
          <w:ilvl w:val="0"/>
          <w:numId w:val="19"/>
        </w:numPr>
      </w:pPr>
      <w:r>
        <w:t>Attach signalling, Initial Authentication Key Agreement</w:t>
      </w:r>
      <w:r w:rsidR="002A6FAE">
        <w:t>, NAS security</w:t>
      </w:r>
    </w:p>
    <w:p w14:paraId="13E0DE24" w14:textId="14E367BF" w:rsidR="000353F1" w:rsidRDefault="000353F1" w:rsidP="000353F1">
      <w:pPr>
        <w:pStyle w:val="ListParagraph"/>
        <w:numPr>
          <w:ilvl w:val="1"/>
          <w:numId w:val="19"/>
        </w:numPr>
      </w:pPr>
      <w:r>
        <w:t>Handling of NAS/AS security capabilities</w:t>
      </w:r>
    </w:p>
    <w:p w14:paraId="09219770" w14:textId="474E5B1F" w:rsidR="000353F1" w:rsidRDefault="000353F1" w:rsidP="00857108">
      <w:pPr>
        <w:pStyle w:val="ListParagraph"/>
        <w:numPr>
          <w:ilvl w:val="0"/>
          <w:numId w:val="19"/>
        </w:numPr>
      </w:pPr>
      <w:r>
        <w:t>User plane</w:t>
      </w:r>
      <w:r w:rsidR="00A44B19">
        <w:t xml:space="preserve"> (UP)</w:t>
      </w:r>
      <w:r w:rsidR="00EA2BD0">
        <w:t>-</w:t>
      </w:r>
      <w:r>
        <w:t xml:space="preserve">related aspects: </w:t>
      </w:r>
    </w:p>
    <w:p w14:paraId="493FDE6A" w14:textId="67597EF3" w:rsidR="00857108" w:rsidRDefault="00857108" w:rsidP="000353F1">
      <w:pPr>
        <w:pStyle w:val="ListParagraph"/>
        <w:numPr>
          <w:ilvl w:val="1"/>
          <w:numId w:val="19"/>
        </w:numPr>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0353F1">
      <w:pPr>
        <w:pStyle w:val="ListParagraph"/>
        <w:numPr>
          <w:ilvl w:val="1"/>
          <w:numId w:val="19"/>
        </w:numPr>
      </w:pPr>
      <w:r>
        <w:t>UP anchoring</w:t>
      </w:r>
    </w:p>
    <w:p w14:paraId="0BEA112F" w14:textId="7D9F2668" w:rsidR="00487EEC" w:rsidRDefault="00487EEC" w:rsidP="00857108">
      <w:pPr>
        <w:pStyle w:val="ListParagraph"/>
        <w:numPr>
          <w:ilvl w:val="0"/>
          <w:numId w:val="19"/>
        </w:numPr>
      </w:pPr>
      <w:r>
        <w:t>I</w:t>
      </w:r>
      <w:r w:rsidR="001B6D5E">
        <w:t>dle state</w:t>
      </w:r>
      <w:r>
        <w:t xml:space="preserve"> mode mobility </w:t>
      </w:r>
    </w:p>
    <w:p w14:paraId="20FD5207" w14:textId="28A49D9C" w:rsidR="00857108" w:rsidRDefault="001B6D5E" w:rsidP="001B6D5E">
      <w:pPr>
        <w:pStyle w:val="ListParagraph"/>
        <w:numPr>
          <w:ilvl w:val="0"/>
          <w:numId w:val="19"/>
        </w:numPr>
      </w:pPr>
      <w:r>
        <w:t>UP anchoring</w:t>
      </w:r>
    </w:p>
    <w:p w14:paraId="30638443" w14:textId="240A9D03" w:rsidR="001D53C9" w:rsidRDefault="00FD32D6" w:rsidP="00FD32D6">
      <w:r>
        <w:t xml:space="preserve">The </w:t>
      </w:r>
      <w:r w:rsidR="006E20B5">
        <w:t>F</w:t>
      </w:r>
      <w:r>
        <w:t>igure</w:t>
      </w:r>
      <w:r w:rsidR="006E20B5">
        <w:t>s 1 and 2</w:t>
      </w:r>
      <w:r>
        <w:t xml:space="preserve"> below </w:t>
      </w:r>
      <w:r w:rsidR="000D28A0">
        <w:t>shows</w:t>
      </w:r>
      <w:r>
        <w:t xml:space="preserve"> the CN/RAN functional split from 38.300 and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3in" o:ole="">
            <v:imagedata r:id="rId14" o:title=""/>
          </v:shape>
          <o:OLEObject Type="Embed" ProgID="Visio.Drawing.11" ShapeID="_x0000_i1025" DrawAspect="Content" ObjectID="_1611676898"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1pt;height:315.5pt" o:ole="">
            <v:imagedata r:id="rId16" o:title=""/>
          </v:shape>
          <o:OLEObject Type="Embed" ProgID="Visio.Drawing.11" ShapeID="_x0000_i1026" DrawAspect="Content" ObjectID="_1611676899"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2" w:name="_Toc357408"/>
      <w:bookmarkStart w:id="13" w:name="_Toc358331"/>
      <w:bookmarkStart w:id="14" w:name="_Toc800021"/>
      <w:bookmarkStart w:id="15" w:name="_Toc1032862"/>
      <w:bookmarkStart w:id="16" w:name="_Toc1064101"/>
      <w:r>
        <w:t xml:space="preserve">Not all CN functions currently </w:t>
      </w:r>
      <w:r w:rsidR="00F5646F">
        <w:t xml:space="preserve">needed </w:t>
      </w:r>
      <w:r>
        <w:t xml:space="preserve">for handling UEs are needed for </w:t>
      </w:r>
      <w:r w:rsidR="00CD7859">
        <w:t>IAB nodes.</w:t>
      </w:r>
      <w:bookmarkEnd w:id="12"/>
      <w:bookmarkEnd w:id="13"/>
      <w:bookmarkEnd w:id="14"/>
      <w:bookmarkEnd w:id="15"/>
      <w:bookmarkEnd w:id="16"/>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17" w:name="_Toc800022"/>
      <w:bookmarkStart w:id="18" w:name="_Toc1032863"/>
      <w:bookmarkStart w:id="19" w:name="_Toc528842907"/>
      <w:bookmarkStart w:id="20" w:name="_Toc528844062"/>
      <w:bookmarkStart w:id="21" w:name="_Toc528846643"/>
      <w:bookmarkStart w:id="22" w:name="_Toc357409"/>
      <w:bookmarkStart w:id="23" w:name="_Toc358332"/>
      <w:bookmarkStart w:id="24" w:name="_Toc106410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17"/>
      <w:bookmarkEnd w:id="18"/>
      <w:bookmarkEnd w:id="24"/>
      <w:r w:rsidR="00DB0E0A">
        <w:t xml:space="preserve"> </w:t>
      </w:r>
      <w:bookmarkEnd w:id="19"/>
      <w:bookmarkEnd w:id="20"/>
      <w:bookmarkEnd w:id="21"/>
      <w:bookmarkEnd w:id="22"/>
      <w:bookmarkEnd w:id="23"/>
    </w:p>
    <w:p w14:paraId="63CAC1C6" w14:textId="6DFC3B44" w:rsidR="0052690B" w:rsidRDefault="00711881" w:rsidP="0052690B">
      <w:pPr>
        <w:pStyle w:val="Proposal"/>
      </w:pPr>
      <w:bookmarkStart w:id="25" w:name="_Toc528842912"/>
      <w:bookmarkStart w:id="26" w:name="_Toc528842942"/>
      <w:bookmarkStart w:id="27" w:name="_Toc528844065"/>
      <w:bookmarkStart w:id="28" w:name="_Toc528846646"/>
      <w:bookmarkStart w:id="29" w:name="_Toc528846667"/>
      <w:bookmarkStart w:id="30" w:name="_Toc357413"/>
      <w:bookmarkStart w:id="31" w:name="_Toc358336"/>
      <w:bookmarkStart w:id="32" w:name="_Toc785260"/>
      <w:bookmarkStart w:id="33" w:name="_Toc800026"/>
      <w:bookmarkStart w:id="34" w:name="_Toc1064106"/>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25"/>
      <w:bookmarkEnd w:id="26"/>
      <w:bookmarkEnd w:id="27"/>
      <w:bookmarkEnd w:id="28"/>
      <w:bookmarkEnd w:id="29"/>
      <w:bookmarkEnd w:id="30"/>
      <w:bookmarkEnd w:id="31"/>
      <w:bookmarkEnd w:id="32"/>
      <w:bookmarkEnd w:id="33"/>
      <w:bookmarkEnd w:id="34"/>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35" w:name="_Toc528842908"/>
      <w:bookmarkStart w:id="36" w:name="_Toc528844063"/>
      <w:bookmarkStart w:id="37" w:name="_Toc528846644"/>
      <w:bookmarkStart w:id="38" w:name="_Toc357410"/>
      <w:bookmarkStart w:id="39" w:name="_Toc358333"/>
      <w:bookmarkStart w:id="40" w:name="_Toc800023"/>
      <w:bookmarkStart w:id="41" w:name="_Toc1032864"/>
      <w:bookmarkStart w:id="42" w:name="_Toc1064103"/>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35"/>
      <w:r w:rsidR="00A5420E">
        <w:t xml:space="preserve"> currently performed by the CN</w:t>
      </w:r>
      <w:r w:rsidR="00505085">
        <w:t xml:space="preserve"> and UEs</w:t>
      </w:r>
      <w:r w:rsidR="00A5420E">
        <w:t>.</w:t>
      </w:r>
      <w:bookmarkEnd w:id="36"/>
      <w:bookmarkEnd w:id="37"/>
      <w:bookmarkEnd w:id="38"/>
      <w:bookmarkEnd w:id="39"/>
      <w:bookmarkEnd w:id="40"/>
      <w:bookmarkEnd w:id="41"/>
      <w:bookmarkEnd w:id="42"/>
    </w:p>
    <w:p w14:paraId="5B09E239" w14:textId="02F566BF" w:rsidR="00A41D90" w:rsidRDefault="002C0564" w:rsidP="00933542">
      <w:pPr>
        <w:pStyle w:val="Proposal"/>
      </w:pPr>
      <w:bookmarkStart w:id="43" w:name="_Toc357414"/>
      <w:bookmarkStart w:id="44" w:name="_Toc358337"/>
      <w:bookmarkStart w:id="45" w:name="_Toc528842913"/>
      <w:bookmarkStart w:id="46" w:name="_Toc528842943"/>
      <w:bookmarkStart w:id="47" w:name="_Toc528844066"/>
      <w:bookmarkStart w:id="48" w:name="_Toc528846647"/>
      <w:bookmarkStart w:id="49" w:name="_Toc528846668"/>
      <w:bookmarkStart w:id="50" w:name="_Toc785261"/>
      <w:bookmarkStart w:id="51" w:name="_Toc800027"/>
      <w:bookmarkStart w:id="52" w:name="_Toc1064107"/>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43"/>
      <w:bookmarkEnd w:id="44"/>
      <w:r>
        <w:t xml:space="preserve"> </w:t>
      </w:r>
      <w:bookmarkEnd w:id="45"/>
      <w:bookmarkEnd w:id="46"/>
      <w:bookmarkEnd w:id="47"/>
      <w:bookmarkEnd w:id="48"/>
      <w:bookmarkEnd w:id="49"/>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0"/>
      <w:bookmarkEnd w:id="51"/>
      <w:bookmarkEnd w:id="52"/>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53" w:name="_Toc357411"/>
      <w:bookmarkStart w:id="54" w:name="_Toc358334"/>
      <w:bookmarkStart w:id="55" w:name="_Toc800024"/>
      <w:bookmarkStart w:id="56" w:name="_Toc1032865"/>
      <w:bookmarkStart w:id="57" w:name="_Toc528842909"/>
      <w:bookmarkStart w:id="58" w:name="_Toc528844064"/>
      <w:bookmarkStart w:id="59" w:name="_Toc528846645"/>
      <w:bookmarkStart w:id="60" w:name="_Toc1064104"/>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53"/>
      <w:bookmarkEnd w:id="54"/>
      <w:bookmarkEnd w:id="55"/>
      <w:bookmarkEnd w:id="56"/>
      <w:bookmarkEnd w:id="60"/>
    </w:p>
    <w:p w14:paraId="0D54D2D1" w14:textId="060F3BA1" w:rsidR="00724609" w:rsidRDefault="007E37A6" w:rsidP="00F55300">
      <w:pPr>
        <w:pStyle w:val="Proposal"/>
      </w:pPr>
      <w:bookmarkStart w:id="61" w:name="_Toc357415"/>
      <w:bookmarkStart w:id="62" w:name="_Toc358338"/>
      <w:bookmarkStart w:id="63" w:name="_Toc785262"/>
      <w:bookmarkStart w:id="64" w:name="_Toc800028"/>
      <w:bookmarkStart w:id="65" w:name="_Toc528842914"/>
      <w:bookmarkStart w:id="66" w:name="_Toc528842944"/>
      <w:bookmarkStart w:id="67" w:name="_Toc528844067"/>
      <w:bookmarkStart w:id="68" w:name="_Toc528846648"/>
      <w:bookmarkStart w:id="69" w:name="_Toc528846669"/>
      <w:bookmarkStart w:id="70" w:name="_Toc1064108"/>
      <w:bookmarkEnd w:id="57"/>
      <w:bookmarkEnd w:id="58"/>
      <w:bookmarkEnd w:id="59"/>
      <w:r>
        <w:t>IAB nodes and CNs serving IAB nodes should support initial Attach/Registration and AKA.</w:t>
      </w:r>
      <w:bookmarkEnd w:id="61"/>
      <w:bookmarkEnd w:id="62"/>
      <w:bookmarkEnd w:id="63"/>
      <w:bookmarkEnd w:id="64"/>
      <w:bookmarkEnd w:id="70"/>
      <w:r>
        <w:t xml:space="preserve"> </w:t>
      </w:r>
      <w:bookmarkEnd w:id="65"/>
      <w:bookmarkEnd w:id="66"/>
      <w:bookmarkEnd w:id="67"/>
      <w:bookmarkEnd w:id="68"/>
      <w:bookmarkEnd w:id="69"/>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71" w:name="_Toc357416"/>
      <w:bookmarkStart w:id="72" w:name="_Toc358339"/>
      <w:bookmarkStart w:id="73" w:name="_Toc785263"/>
      <w:bookmarkStart w:id="74" w:name="_Toc800029"/>
      <w:bookmarkStart w:id="75" w:name="_Toc1064109"/>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71"/>
      <w:bookmarkEnd w:id="72"/>
      <w:bookmarkEnd w:id="73"/>
      <w:bookmarkEnd w:id="74"/>
      <w:bookmarkEnd w:id="75"/>
      <w:r w:rsidR="00887046">
        <w:t xml:space="preserve"> </w:t>
      </w:r>
    </w:p>
    <w:p w14:paraId="724E653B" w14:textId="5E69AE74" w:rsidR="00464339" w:rsidRDefault="00D52795" w:rsidP="00F12D5C">
      <w:pPr>
        <w:pStyle w:val="Proposal"/>
      </w:pPr>
      <w:bookmarkStart w:id="76" w:name="_Toc357417"/>
      <w:bookmarkStart w:id="77" w:name="_Toc358340"/>
      <w:bookmarkStart w:id="78" w:name="_Toc785264"/>
      <w:bookmarkStart w:id="79" w:name="_Toc800030"/>
      <w:bookmarkStart w:id="80" w:name="_Toc1064110"/>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76"/>
      <w:bookmarkEnd w:id="77"/>
      <w:r w:rsidR="003C63D4">
        <w:t>.</w:t>
      </w:r>
      <w:bookmarkEnd w:id="78"/>
      <w:bookmarkEnd w:id="79"/>
      <w:bookmarkEnd w:id="80"/>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81" w:name="_Toc357412"/>
      <w:bookmarkStart w:id="82" w:name="_Toc358335"/>
      <w:bookmarkStart w:id="83" w:name="_Toc800025"/>
      <w:bookmarkStart w:id="84" w:name="_Toc1032866"/>
      <w:bookmarkStart w:id="85" w:name="_Toc1064105"/>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81"/>
      <w:bookmarkEnd w:id="82"/>
      <w:bookmarkEnd w:id="83"/>
      <w:bookmarkEnd w:id="84"/>
      <w:bookmarkEnd w:id="85"/>
      <w:r w:rsidR="006E0F8F">
        <w:t xml:space="preserve"> </w:t>
      </w:r>
    </w:p>
    <w:p w14:paraId="727EB78B" w14:textId="75EC27D3" w:rsidR="00DE561F" w:rsidRPr="00DC3379" w:rsidRDefault="00DE561F" w:rsidP="00DC3379">
      <w:pPr>
        <w:pStyle w:val="Proposal"/>
      </w:pPr>
      <w:bookmarkStart w:id="86" w:name="_Toc357418"/>
      <w:bookmarkStart w:id="87" w:name="_Toc358341"/>
      <w:bookmarkStart w:id="88" w:name="_Toc785265"/>
      <w:bookmarkStart w:id="89" w:name="_Toc800031"/>
      <w:bookmarkStart w:id="90" w:name="_Toc1064111"/>
      <w:r w:rsidRPr="00DC3379">
        <w:t>Dedicated CN instances serving IAB nodes should be supported.</w:t>
      </w:r>
      <w:bookmarkEnd w:id="86"/>
      <w:bookmarkEnd w:id="87"/>
      <w:bookmarkEnd w:id="88"/>
      <w:bookmarkEnd w:id="89"/>
      <w:bookmarkEnd w:id="90"/>
    </w:p>
    <w:p w14:paraId="7FC0D385" w14:textId="024C9920" w:rsidR="00DE561F" w:rsidRPr="00DC3379" w:rsidRDefault="00DE561F" w:rsidP="00DC3379">
      <w:pPr>
        <w:pStyle w:val="Proposal"/>
      </w:pPr>
      <w:bookmarkStart w:id="91" w:name="_Toc357419"/>
      <w:bookmarkStart w:id="92" w:name="_Toc358342"/>
      <w:bookmarkStart w:id="93" w:name="_Toc785266"/>
      <w:bookmarkStart w:id="94" w:name="_Toc800032"/>
      <w:bookmarkStart w:id="95" w:name="_Toc1064112"/>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91"/>
      <w:bookmarkEnd w:id="92"/>
      <w:bookmarkEnd w:id="93"/>
      <w:bookmarkEnd w:id="94"/>
      <w:bookmarkEnd w:id="95"/>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96"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96"/>
    </w:p>
    <w:p w14:paraId="0A94C96B" w14:textId="77777777" w:rsidR="000E2FAD" w:rsidRPr="000E2FAD" w:rsidRDefault="005738C8">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0E2FAD">
        <w:t>Observation 1</w:t>
      </w:r>
      <w:r w:rsidR="000E2FAD" w:rsidRPr="000E2FAD">
        <w:rPr>
          <w:rFonts w:asciiTheme="minorHAnsi" w:eastAsiaTheme="minorEastAsia" w:hAnsiTheme="minorHAnsi" w:cstheme="minorBidi"/>
          <w:b w:val="0"/>
          <w:sz w:val="22"/>
          <w:lang w:eastAsia="sv-SE"/>
        </w:rPr>
        <w:tab/>
      </w:r>
      <w:r w:rsidR="000E2FAD">
        <w:t>IAB deployment could be based on local RAN deployment decisions considering local transport network situation, and as such it is beneficial if this can be done without any interworking with the Core Network(s) used to serve UEs.</w:t>
      </w:r>
    </w:p>
    <w:p w14:paraId="08FFD129" w14:textId="77777777" w:rsidR="000E2FAD" w:rsidRPr="000E2FAD" w:rsidRDefault="000E2FAD">
      <w:pPr>
        <w:pStyle w:val="TOC1"/>
        <w:rPr>
          <w:rFonts w:asciiTheme="minorHAnsi" w:eastAsiaTheme="minorEastAsia" w:hAnsiTheme="minorHAnsi" w:cstheme="minorBidi"/>
          <w:b w:val="0"/>
          <w:sz w:val="22"/>
          <w:lang w:eastAsia="sv-SE"/>
        </w:rPr>
      </w:pPr>
      <w:r>
        <w:t>Observation 2</w:t>
      </w:r>
      <w:r w:rsidRPr="000E2FAD">
        <w:rPr>
          <w:rFonts w:asciiTheme="minorHAnsi" w:eastAsiaTheme="minorEastAsia" w:hAnsiTheme="minorHAnsi" w:cstheme="minorBidi"/>
          <w:b w:val="0"/>
          <w:sz w:val="22"/>
          <w:lang w:eastAsia="sv-SE"/>
        </w:rPr>
        <w:tab/>
      </w:r>
      <w:r>
        <w:t>In case IAB nodes are deployed using dedicated CN instances (isolated from CNs serving UEs), it is beneficial if these instances could be “lightweight” and only support the functionality needed to serve IAB nodes.</w:t>
      </w:r>
    </w:p>
    <w:p w14:paraId="5907C9B7" w14:textId="77777777" w:rsidR="000E2FAD" w:rsidRPr="000E2FAD" w:rsidRDefault="000E2FAD">
      <w:pPr>
        <w:pStyle w:val="TOC1"/>
        <w:rPr>
          <w:rFonts w:asciiTheme="minorHAnsi" w:eastAsiaTheme="minorEastAsia" w:hAnsiTheme="minorHAnsi" w:cstheme="minorBidi"/>
          <w:b w:val="0"/>
          <w:sz w:val="22"/>
          <w:lang w:eastAsia="sv-SE"/>
        </w:rPr>
      </w:pPr>
      <w:r>
        <w:t>Observation 3</w:t>
      </w:r>
      <w:r w:rsidRPr="000E2FAD">
        <w:rPr>
          <w:rFonts w:asciiTheme="minorHAnsi" w:eastAsiaTheme="minorEastAsia" w:hAnsiTheme="minorHAnsi" w:cstheme="minorBidi"/>
          <w:b w:val="0"/>
          <w:sz w:val="22"/>
          <w:lang w:eastAsia="sv-SE"/>
        </w:rPr>
        <w:tab/>
      </w:r>
      <w:r>
        <w:t>Not all CN functions currently needed for handling UEs are needed for IAB nodes.</w:t>
      </w:r>
    </w:p>
    <w:p w14:paraId="1AD257AF" w14:textId="77777777" w:rsidR="000E2FAD" w:rsidRPr="000E2FAD" w:rsidRDefault="000E2FAD">
      <w:pPr>
        <w:pStyle w:val="TOC1"/>
        <w:rPr>
          <w:rFonts w:asciiTheme="minorHAnsi" w:eastAsiaTheme="minorEastAsia" w:hAnsiTheme="minorHAnsi" w:cstheme="minorBidi"/>
          <w:b w:val="0"/>
          <w:sz w:val="22"/>
          <w:lang w:eastAsia="sv-SE"/>
        </w:rPr>
      </w:pPr>
      <w:r>
        <w:t>Observation 4</w:t>
      </w:r>
      <w:r w:rsidRPr="000E2FAD">
        <w:rPr>
          <w:rFonts w:asciiTheme="minorHAnsi" w:eastAsiaTheme="minorEastAsia" w:hAnsiTheme="minorHAnsi" w:cstheme="minorBidi"/>
          <w:b w:val="0"/>
          <w:sz w:val="22"/>
          <w:lang w:eastAsia="sv-SE"/>
        </w:rPr>
        <w:tab/>
      </w:r>
      <w:r>
        <w:t>By supporting IP UP connectivity and IP management in the RAN towards the IAB nodes, there is no need to support UP functionality (e.g. SMF and UPF) in the CN serving IAB nodes. Similar there is no need to support NAS session management.</w:t>
      </w:r>
    </w:p>
    <w:p w14:paraId="127AA520" w14:textId="77777777" w:rsidR="000E2FAD" w:rsidRPr="000E2FAD" w:rsidRDefault="000E2FAD">
      <w:pPr>
        <w:pStyle w:val="TOC1"/>
        <w:rPr>
          <w:rFonts w:asciiTheme="minorHAnsi" w:eastAsiaTheme="minorEastAsia" w:hAnsiTheme="minorHAnsi" w:cstheme="minorBidi"/>
          <w:b w:val="0"/>
          <w:sz w:val="22"/>
          <w:lang w:eastAsia="sv-SE"/>
        </w:rPr>
      </w:pPr>
      <w:r>
        <w:t>Observation 5</w:t>
      </w:r>
      <w:r w:rsidRPr="000E2FAD">
        <w:rPr>
          <w:rFonts w:asciiTheme="minorHAnsi" w:eastAsiaTheme="minorEastAsia" w:hAnsiTheme="minorHAnsi" w:cstheme="minorBidi"/>
          <w:b w:val="0"/>
          <w:sz w:val="22"/>
          <w:lang w:eastAsia="sv-SE"/>
        </w:rPr>
        <w:tab/>
      </w:r>
      <w:r>
        <w:t>Besides initial cell selection and re-selection (e.g. at RLF), IAB nodes does not need to support other RRC_IDLE functionality (e.g. UE camping, UE reachability, paging) currently performed by the CN and UEs.</w:t>
      </w:r>
    </w:p>
    <w:p w14:paraId="061D7A38" w14:textId="77777777" w:rsidR="000E2FAD" w:rsidRPr="000E2FAD" w:rsidRDefault="000E2FAD">
      <w:pPr>
        <w:pStyle w:val="TOC1"/>
        <w:rPr>
          <w:rFonts w:asciiTheme="minorHAnsi" w:eastAsiaTheme="minorEastAsia" w:hAnsiTheme="minorHAnsi" w:cstheme="minorBidi"/>
          <w:b w:val="0"/>
          <w:sz w:val="22"/>
          <w:lang w:eastAsia="sv-SE"/>
        </w:rPr>
      </w:pPr>
      <w:r>
        <w:t>Observation 6</w:t>
      </w:r>
      <w:r w:rsidRPr="000E2FAD">
        <w:rPr>
          <w:rFonts w:asciiTheme="minorHAnsi" w:eastAsiaTheme="minorEastAsia" w:hAnsiTheme="minorHAnsi" w:cstheme="minorBidi"/>
          <w:b w:val="0"/>
          <w:sz w:val="22"/>
          <w:lang w:eastAsia="sv-SE"/>
        </w:rPr>
        <w:tab/>
      </w:r>
      <w:r>
        <w:t>In order to minimize standardization impacts, it is beneficial to reuse NAS signalling for initial Attach/Registration and AKA for IAB nodes and CN serving IAB nodes.</w:t>
      </w:r>
    </w:p>
    <w:p w14:paraId="33E675A9" w14:textId="77777777" w:rsidR="000E2FAD" w:rsidRPr="000E2FAD" w:rsidRDefault="000E2FAD">
      <w:pPr>
        <w:pStyle w:val="TOC1"/>
        <w:rPr>
          <w:rFonts w:asciiTheme="minorHAnsi" w:eastAsiaTheme="minorEastAsia" w:hAnsiTheme="minorHAnsi" w:cstheme="minorBidi"/>
          <w:b w:val="0"/>
          <w:sz w:val="22"/>
          <w:lang w:eastAsia="sv-SE"/>
        </w:rPr>
      </w:pPr>
      <w:r>
        <w:t>Observation 7</w:t>
      </w:r>
      <w:r w:rsidRPr="000E2FAD">
        <w:rPr>
          <w:rFonts w:asciiTheme="minorHAnsi" w:eastAsiaTheme="minorEastAsia" w:hAnsiTheme="minorHAnsi" w:cstheme="minorBidi"/>
          <w:b w:val="0"/>
          <w:sz w:val="22"/>
          <w:lang w:eastAsia="sv-SE"/>
        </w:rPr>
        <w:tab/>
      </w:r>
      <w:r>
        <w:t>Support for dedicated CN instances serving IAB nodes will make it possible to treat IAB nodes separately from UEs, which will reduce complexity and increase deployment flexibility for supporting IAB deployments.</w:t>
      </w:r>
    </w:p>
    <w:p w14:paraId="214B7248" w14:textId="448A5968"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55841005" w14:textId="77777777" w:rsidR="000E2FAD" w:rsidRPr="000E2FAD" w:rsidRDefault="005738C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97" w:name="_GoBack"/>
      <w:bookmarkEnd w:id="97"/>
      <w:r w:rsidR="000E2FAD">
        <w:t>Proposal 1</w:t>
      </w:r>
      <w:r w:rsidR="000E2FAD" w:rsidRPr="000E2FAD">
        <w:rPr>
          <w:rFonts w:asciiTheme="minorHAnsi" w:eastAsiaTheme="minorEastAsia" w:hAnsiTheme="minorHAnsi" w:cstheme="minorBidi"/>
          <w:b w:val="0"/>
          <w:sz w:val="22"/>
          <w:lang w:eastAsia="sv-SE"/>
        </w:rPr>
        <w:tab/>
      </w:r>
      <w:r w:rsidR="000E2FAD">
        <w:t>IAB nodes and CNs nodes serving IAB nodes are not required to support any CN UP functionality. Any support for CN UP functions, using existing specifications, is left for implementation/configuration.</w:t>
      </w:r>
    </w:p>
    <w:p w14:paraId="46678574" w14:textId="77777777" w:rsidR="000E2FAD" w:rsidRPr="000E2FAD" w:rsidRDefault="000E2FAD">
      <w:pPr>
        <w:pStyle w:val="TOC1"/>
        <w:rPr>
          <w:rFonts w:asciiTheme="minorHAnsi" w:eastAsiaTheme="minorEastAsia" w:hAnsiTheme="minorHAnsi" w:cstheme="minorBidi"/>
          <w:b w:val="0"/>
          <w:sz w:val="22"/>
          <w:lang w:eastAsia="sv-SE"/>
        </w:rPr>
      </w:pPr>
      <w:r>
        <w:t>Proposal 2</w:t>
      </w:r>
      <w:r w:rsidRPr="000E2FAD">
        <w:rPr>
          <w:rFonts w:asciiTheme="minorHAnsi" w:eastAsiaTheme="minorEastAsia" w:hAnsiTheme="minorHAnsi" w:cstheme="minorBidi"/>
          <w:b w:val="0"/>
          <w:sz w:val="22"/>
          <w:lang w:eastAsia="sv-SE"/>
        </w:rPr>
        <w:tab/>
      </w:r>
      <w:r>
        <w:t>IAB nodes and CNs serving IAB nodes are not required to support CN IDLE mode functionality (e.g. camping, reachability, paging). Any support for this functionality, using existing specifications, is left for implementation/configuration.</w:t>
      </w:r>
    </w:p>
    <w:p w14:paraId="0C7793BA" w14:textId="77777777" w:rsidR="000E2FAD" w:rsidRPr="000E2FAD" w:rsidRDefault="000E2FAD">
      <w:pPr>
        <w:pStyle w:val="TOC1"/>
        <w:rPr>
          <w:rFonts w:asciiTheme="minorHAnsi" w:eastAsiaTheme="minorEastAsia" w:hAnsiTheme="minorHAnsi" w:cstheme="minorBidi"/>
          <w:b w:val="0"/>
          <w:sz w:val="22"/>
          <w:lang w:eastAsia="sv-SE"/>
        </w:rPr>
      </w:pPr>
      <w:r>
        <w:t>Proposal 3</w:t>
      </w:r>
      <w:r w:rsidRPr="000E2FAD">
        <w:rPr>
          <w:rFonts w:asciiTheme="minorHAnsi" w:eastAsiaTheme="minorEastAsia" w:hAnsiTheme="minorHAnsi" w:cstheme="minorBidi"/>
          <w:b w:val="0"/>
          <w:sz w:val="22"/>
          <w:lang w:eastAsia="sv-SE"/>
        </w:rPr>
        <w:tab/>
      </w:r>
      <w:r>
        <w:t>IAB nodes and CNs serving IAB nodes should support initial Attach/Registration and AKA.</w:t>
      </w:r>
    </w:p>
    <w:p w14:paraId="626AFF37" w14:textId="77777777" w:rsidR="000E2FAD" w:rsidRPr="000E2FAD" w:rsidRDefault="000E2FAD">
      <w:pPr>
        <w:pStyle w:val="TOC1"/>
        <w:rPr>
          <w:rFonts w:asciiTheme="minorHAnsi" w:eastAsiaTheme="minorEastAsia" w:hAnsiTheme="minorHAnsi" w:cstheme="minorBidi"/>
          <w:b w:val="0"/>
          <w:sz w:val="22"/>
          <w:lang w:eastAsia="sv-SE"/>
        </w:rPr>
      </w:pPr>
      <w:r>
        <w:t>Proposal 4</w:t>
      </w:r>
      <w:r w:rsidRPr="000E2FAD">
        <w:rPr>
          <w:rFonts w:asciiTheme="minorHAnsi" w:eastAsiaTheme="minorEastAsia" w:hAnsiTheme="minorHAnsi" w:cstheme="minorBidi"/>
          <w:b w:val="0"/>
          <w:sz w:val="22"/>
          <w:lang w:eastAsia="sv-SE"/>
        </w:rPr>
        <w:tab/>
      </w:r>
      <w:r>
        <w:t>Only a sub-set of NG and S1 procedure should be mandatory to support for CN nodes serving IAB nodes. Example of such procedures include UE Context Setup and NAS transfer procedures.</w:t>
      </w:r>
    </w:p>
    <w:p w14:paraId="3DCDC71C" w14:textId="77777777" w:rsidR="000E2FAD" w:rsidRPr="000E2FAD" w:rsidRDefault="000E2FAD">
      <w:pPr>
        <w:pStyle w:val="TOC1"/>
        <w:rPr>
          <w:rFonts w:asciiTheme="minorHAnsi" w:eastAsiaTheme="minorEastAsia" w:hAnsiTheme="minorHAnsi" w:cstheme="minorBidi"/>
          <w:b w:val="0"/>
          <w:sz w:val="22"/>
          <w:lang w:eastAsia="sv-SE"/>
        </w:rPr>
      </w:pPr>
      <w:r>
        <w:t>Proposal 5</w:t>
      </w:r>
      <w:r w:rsidRPr="000E2FAD">
        <w:rPr>
          <w:rFonts w:asciiTheme="minorHAnsi" w:eastAsiaTheme="minorEastAsia" w:hAnsiTheme="minorHAnsi" w:cstheme="minorBidi"/>
          <w:b w:val="0"/>
          <w:sz w:val="22"/>
          <w:lang w:eastAsia="sv-SE"/>
        </w:rPr>
        <w:tab/>
      </w:r>
      <w:r>
        <w:t>Only a minimum set of parameters is required to be supported in these NG and S1 procedures for IAB nodes (most likely only mandatory NG/S1 elements need to be supported).</w:t>
      </w:r>
    </w:p>
    <w:p w14:paraId="1A5C46C1" w14:textId="77777777" w:rsidR="000E2FAD" w:rsidRPr="000E2FAD" w:rsidRDefault="000E2FAD">
      <w:pPr>
        <w:pStyle w:val="TOC1"/>
        <w:rPr>
          <w:rFonts w:asciiTheme="minorHAnsi" w:eastAsiaTheme="minorEastAsia" w:hAnsiTheme="minorHAnsi" w:cstheme="minorBidi"/>
          <w:b w:val="0"/>
          <w:sz w:val="22"/>
          <w:lang w:eastAsia="sv-SE"/>
        </w:rPr>
      </w:pPr>
      <w:r>
        <w:t>Proposal 6</w:t>
      </w:r>
      <w:r w:rsidRPr="000E2FAD">
        <w:rPr>
          <w:rFonts w:asciiTheme="minorHAnsi" w:eastAsiaTheme="minorEastAsia" w:hAnsiTheme="minorHAnsi" w:cstheme="minorBidi"/>
          <w:b w:val="0"/>
          <w:sz w:val="22"/>
          <w:lang w:eastAsia="sv-SE"/>
        </w:rPr>
        <w:tab/>
      </w:r>
      <w:r>
        <w:t>Dedicated CN instances serving IAB nodes should be supported.</w:t>
      </w:r>
    </w:p>
    <w:p w14:paraId="61131BD3" w14:textId="77777777" w:rsidR="000E2FAD" w:rsidRPr="000E2FAD" w:rsidRDefault="000E2FAD">
      <w:pPr>
        <w:pStyle w:val="TOC1"/>
        <w:rPr>
          <w:rFonts w:asciiTheme="minorHAnsi" w:eastAsiaTheme="minorEastAsia" w:hAnsiTheme="minorHAnsi" w:cstheme="minorBidi"/>
          <w:b w:val="0"/>
          <w:sz w:val="22"/>
          <w:lang w:eastAsia="sv-SE"/>
        </w:rPr>
      </w:pPr>
      <w:r>
        <w:t>Proposal 7</w:t>
      </w:r>
      <w:r w:rsidRPr="000E2FAD">
        <w:rPr>
          <w:rFonts w:asciiTheme="minorHAnsi" w:eastAsiaTheme="minorEastAsia" w:hAnsiTheme="minorHAnsi" w:cstheme="minorBidi"/>
          <w:b w:val="0"/>
          <w:sz w:val="22"/>
          <w:lang w:eastAsia="sv-SE"/>
        </w:rPr>
        <w:tab/>
      </w:r>
      <w:r>
        <w:t>Existing Slicing and (e)DÉCOR should be reused to enable dedicated CN instances.</w:t>
      </w:r>
    </w:p>
    <w:p w14:paraId="00DD87CF" w14:textId="54EE501B" w:rsidR="005738C8" w:rsidRDefault="005738C8" w:rsidP="00AA0471">
      <w:r>
        <w:fldChar w:fldCharType="end"/>
      </w:r>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E5583" w14:textId="77777777" w:rsidR="00732EDA" w:rsidRDefault="00732EDA">
      <w:r>
        <w:separator/>
      </w:r>
    </w:p>
  </w:endnote>
  <w:endnote w:type="continuationSeparator" w:id="0">
    <w:p w14:paraId="12D45D54" w14:textId="77777777" w:rsidR="00732EDA" w:rsidRDefault="0073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1796C" w14:textId="77777777" w:rsidR="00732EDA" w:rsidRDefault="00732EDA">
      <w:r>
        <w:separator/>
      </w:r>
    </w:p>
  </w:footnote>
  <w:footnote w:type="continuationSeparator" w:id="0">
    <w:p w14:paraId="4F863C28" w14:textId="77777777" w:rsidR="00732EDA" w:rsidRDefault="0073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673D"/>
    <w:rsid w:val="006E719E"/>
    <w:rsid w:val="006E7D3B"/>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3358"/>
    <w:rsid w:val="00D36E71"/>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5NUHHDQN7SK2-1476151046-38076</_dlc_DocId>
    <_dlc_DocIdUrl xmlns="f166a696-7b5b-4ccd-9f0c-ffde0cceec81">
      <Url>https://ericsson.sharepoint.com/sites/star/_layouts/15/DocIdRedir.aspx?ID=5NUHHDQN7SK2-1476151046-38076</Url>
      <Description>5NUHHDQN7SK2-1476151046-38076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D63675-B092-474E-B2E0-C70ACC61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243</TotalTime>
  <Pages>5</Pages>
  <Words>1852</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Oumer Teyeb</cp:lastModifiedBy>
  <cp:revision>195</cp:revision>
  <cp:lastPrinted>2008-01-31T16:09:00Z</cp:lastPrinted>
  <dcterms:created xsi:type="dcterms:W3CDTF">2018-12-17T10:00:00Z</dcterms:created>
  <dcterms:modified xsi:type="dcterms:W3CDTF">2019-02-14T18:14:00Z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ae29360f-4534-4b37-a3d5-d92bdecc0889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ies>
</file>